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BB3D" w14:textId="52C4F957" w:rsidR="00605DC6" w:rsidRDefault="008E5902" w:rsidP="008E5902">
      <w:pPr>
        <w:jc w:val="center"/>
        <w:rPr>
          <w:b/>
          <w:bCs/>
        </w:rPr>
      </w:pPr>
      <w:r>
        <w:rPr>
          <w:b/>
          <w:bCs/>
        </w:rPr>
        <w:t>JAAZ Investment Managers Comparison</w:t>
      </w:r>
    </w:p>
    <w:tbl>
      <w:tblPr>
        <w:tblStyle w:val="TableGrid"/>
        <w:tblW w:w="0" w:type="auto"/>
        <w:tblLook w:val="06A0" w:firstRow="1" w:lastRow="0" w:firstColumn="1" w:lastColumn="0" w:noHBand="1" w:noVBand="1"/>
      </w:tblPr>
      <w:tblGrid>
        <w:gridCol w:w="3237"/>
        <w:gridCol w:w="3237"/>
        <w:gridCol w:w="3238"/>
        <w:gridCol w:w="3238"/>
      </w:tblGrid>
      <w:tr w:rsidR="008E5902" w14:paraId="2E8AAC37" w14:textId="77777777" w:rsidTr="00DB5A24">
        <w:trPr>
          <w:cantSplit/>
          <w:tblHeader/>
        </w:trPr>
        <w:tc>
          <w:tcPr>
            <w:tcW w:w="3237" w:type="dxa"/>
            <w:shd w:val="clear" w:color="auto" w:fill="F4B083" w:themeFill="accent2" w:themeFillTint="99"/>
          </w:tcPr>
          <w:p w14:paraId="52E5D4CF" w14:textId="5301E90B" w:rsidR="008E5902" w:rsidRPr="008E5902" w:rsidRDefault="00EB0E6F" w:rsidP="008E5902">
            <w:pPr>
              <w:jc w:val="center"/>
              <w:rPr>
                <w:b/>
                <w:bCs/>
              </w:rPr>
            </w:pPr>
            <w:r>
              <w:rPr>
                <w:b/>
                <w:bCs/>
              </w:rPr>
              <w:t>Beacon Pointe/Schwab</w:t>
            </w:r>
            <w:r w:rsidR="00E0559A">
              <w:rPr>
                <w:b/>
                <w:bCs/>
              </w:rPr>
              <w:t xml:space="preserve"> (BP)</w:t>
            </w:r>
          </w:p>
        </w:tc>
        <w:tc>
          <w:tcPr>
            <w:tcW w:w="3237" w:type="dxa"/>
            <w:shd w:val="clear" w:color="auto" w:fill="F4B083" w:themeFill="accent2" w:themeFillTint="99"/>
          </w:tcPr>
          <w:p w14:paraId="5621E390" w14:textId="3BDF08CF" w:rsidR="008E5902" w:rsidRPr="008E5902" w:rsidRDefault="00EB0E6F" w:rsidP="008E5902">
            <w:pPr>
              <w:jc w:val="center"/>
              <w:rPr>
                <w:b/>
                <w:bCs/>
              </w:rPr>
            </w:pPr>
            <w:r>
              <w:rPr>
                <w:b/>
                <w:bCs/>
              </w:rPr>
              <w:t>BOK</w:t>
            </w:r>
          </w:p>
        </w:tc>
        <w:tc>
          <w:tcPr>
            <w:tcW w:w="3238" w:type="dxa"/>
            <w:shd w:val="clear" w:color="auto" w:fill="F4B083" w:themeFill="accent2" w:themeFillTint="99"/>
          </w:tcPr>
          <w:p w14:paraId="6D23E766" w14:textId="2768B6B4" w:rsidR="008E5902" w:rsidRPr="008E5902" w:rsidRDefault="00EB0E6F" w:rsidP="008E5902">
            <w:pPr>
              <w:jc w:val="center"/>
              <w:rPr>
                <w:b/>
                <w:bCs/>
              </w:rPr>
            </w:pPr>
            <w:r>
              <w:rPr>
                <w:b/>
                <w:bCs/>
              </w:rPr>
              <w:t>Northern Trust</w:t>
            </w:r>
            <w:r w:rsidR="00E0559A">
              <w:rPr>
                <w:b/>
                <w:bCs/>
              </w:rPr>
              <w:t xml:space="preserve"> (TNT)</w:t>
            </w:r>
          </w:p>
        </w:tc>
        <w:tc>
          <w:tcPr>
            <w:tcW w:w="3238" w:type="dxa"/>
            <w:shd w:val="clear" w:color="auto" w:fill="F4B083" w:themeFill="accent2" w:themeFillTint="99"/>
          </w:tcPr>
          <w:p w14:paraId="157116F7" w14:textId="4E2FAA95" w:rsidR="008E5902" w:rsidRPr="008E5902" w:rsidRDefault="00EB0E6F" w:rsidP="008E5902">
            <w:pPr>
              <w:jc w:val="center"/>
              <w:rPr>
                <w:b/>
                <w:bCs/>
              </w:rPr>
            </w:pPr>
            <w:r>
              <w:rPr>
                <w:b/>
                <w:bCs/>
              </w:rPr>
              <w:t>Wells Fargo</w:t>
            </w:r>
            <w:r w:rsidR="00E0559A">
              <w:rPr>
                <w:b/>
                <w:bCs/>
              </w:rPr>
              <w:t xml:space="preserve"> (WF)</w:t>
            </w:r>
          </w:p>
        </w:tc>
      </w:tr>
      <w:tr w:rsidR="009E3B2D" w14:paraId="50C24806" w14:textId="77777777" w:rsidTr="00DB5A24">
        <w:tc>
          <w:tcPr>
            <w:tcW w:w="12950" w:type="dxa"/>
            <w:gridSpan w:val="4"/>
            <w:shd w:val="clear" w:color="auto" w:fill="FFE599" w:themeFill="accent4" w:themeFillTint="66"/>
          </w:tcPr>
          <w:p w14:paraId="25FF5DE8" w14:textId="62055A68" w:rsidR="009E3B2D" w:rsidRPr="009E3B2D" w:rsidRDefault="009E3B2D" w:rsidP="009E3B2D">
            <w:pPr>
              <w:jc w:val="center"/>
              <w:rPr>
                <w:b/>
                <w:bCs/>
              </w:rPr>
            </w:pPr>
            <w:r w:rsidRPr="009E3B2D">
              <w:rPr>
                <w:b/>
                <w:bCs/>
              </w:rPr>
              <w:t>Team</w:t>
            </w:r>
          </w:p>
        </w:tc>
      </w:tr>
      <w:tr w:rsidR="008E5902" w14:paraId="7FEF464B" w14:textId="77777777" w:rsidTr="00DB5A24">
        <w:trPr>
          <w:cantSplit/>
        </w:trPr>
        <w:tc>
          <w:tcPr>
            <w:tcW w:w="3237" w:type="dxa"/>
          </w:tcPr>
          <w:p w14:paraId="7E7B15F6" w14:textId="08E72C9A" w:rsidR="008E5902" w:rsidRDefault="00937029" w:rsidP="008E5902">
            <w:r>
              <w:t>Brian Coughlan</w:t>
            </w:r>
            <w:r w:rsidR="000A1D0F">
              <w:t>, Managing Partner (Scottsdale)</w:t>
            </w:r>
          </w:p>
          <w:p w14:paraId="23E9ED02" w14:textId="7FE5C55C" w:rsidR="00937029" w:rsidRDefault="00937029" w:rsidP="00E0559A">
            <w:pPr>
              <w:ind w:left="60" w:hanging="60"/>
            </w:pPr>
            <w:r>
              <w:t xml:space="preserve">Grant </w:t>
            </w:r>
            <w:r w:rsidR="000A1D0F">
              <w:t>Lyon, Wealth Advisor (Scottsdale)</w:t>
            </w:r>
          </w:p>
          <w:p w14:paraId="18FD9373" w14:textId="13A7BBDB" w:rsidR="00937029" w:rsidRDefault="00937029" w:rsidP="00E0559A">
            <w:pPr>
              <w:ind w:left="150" w:hanging="150"/>
            </w:pPr>
            <w:r>
              <w:t>Roy Chavez (Schwab</w:t>
            </w:r>
            <w:r w:rsidR="000A1D0F">
              <w:t xml:space="preserve"> </w:t>
            </w:r>
            <w:r w:rsidR="00B749FD">
              <w:t xml:space="preserve">acting as Custodian of assets </w:t>
            </w:r>
            <w:r w:rsidR="000A1D0F">
              <w:t>- Scottsdale</w:t>
            </w:r>
            <w:r>
              <w:t>)</w:t>
            </w:r>
          </w:p>
        </w:tc>
        <w:tc>
          <w:tcPr>
            <w:tcW w:w="3237" w:type="dxa"/>
          </w:tcPr>
          <w:p w14:paraId="75A58E92" w14:textId="6037F98E" w:rsidR="008E5902" w:rsidRDefault="009E3B2D" w:rsidP="008E5902">
            <w:r>
              <w:t>Laura Bartlett</w:t>
            </w:r>
            <w:r w:rsidR="00DB5A24">
              <w:t>, Sr. VP Institutional Wealth (Scottsdale)</w:t>
            </w:r>
          </w:p>
          <w:p w14:paraId="3A48B11A" w14:textId="75309FF6" w:rsidR="009E3B2D" w:rsidRDefault="009E3B2D" w:rsidP="008E5902">
            <w:r>
              <w:t>Tara Duffy</w:t>
            </w:r>
            <w:r w:rsidR="008A7A56">
              <w:t>, Sr VP Senior Institutional Advisor (Texas)</w:t>
            </w:r>
          </w:p>
          <w:p w14:paraId="530E519B" w14:textId="42E3B40C" w:rsidR="009E3B2D" w:rsidRDefault="009E3B2D" w:rsidP="00E0559A">
            <w:pPr>
              <w:ind w:left="76" w:hanging="76"/>
            </w:pPr>
            <w:r>
              <w:t>Michael Shamy</w:t>
            </w:r>
            <w:r w:rsidR="008A7A56">
              <w:t>, Asst VP Client Account Manager (Phoenix – day to day)</w:t>
            </w:r>
          </w:p>
        </w:tc>
        <w:tc>
          <w:tcPr>
            <w:tcW w:w="3238" w:type="dxa"/>
          </w:tcPr>
          <w:p w14:paraId="23772869" w14:textId="424145A0" w:rsidR="009E3B2D" w:rsidRDefault="009E3B2D" w:rsidP="009E3B2D">
            <w:pPr>
              <w:ind w:left="166" w:hanging="166"/>
            </w:pPr>
            <w:r>
              <w:t xml:space="preserve">Frank Sutton, Sr Portfolio </w:t>
            </w:r>
            <w:proofErr w:type="spellStart"/>
            <w:r>
              <w:t>Mgr</w:t>
            </w:r>
            <w:proofErr w:type="spellEnd"/>
            <w:r w:rsidR="00157C67">
              <w:t xml:space="preserve"> (Ph</w:t>
            </w:r>
            <w:r w:rsidR="00DB5A24">
              <w:t>oenix</w:t>
            </w:r>
            <w:r w:rsidR="00157C67">
              <w:t>)</w:t>
            </w:r>
          </w:p>
          <w:p w14:paraId="5F904C4F" w14:textId="0CFFD9B1" w:rsidR="009E3B2D" w:rsidRDefault="009E3B2D" w:rsidP="00E0559A">
            <w:pPr>
              <w:ind w:left="76" w:hanging="76"/>
            </w:pPr>
            <w:r>
              <w:t>Matt Bradford</w:t>
            </w:r>
            <w:r w:rsidR="00E0559A">
              <w:t xml:space="preserve">, Sr Relationship </w:t>
            </w:r>
            <w:proofErr w:type="spellStart"/>
            <w:r w:rsidR="00E0559A">
              <w:t>Mgr</w:t>
            </w:r>
            <w:proofErr w:type="spellEnd"/>
            <w:r w:rsidR="00157C67">
              <w:t xml:space="preserve"> (Ph</w:t>
            </w:r>
            <w:r w:rsidR="00DB5A24">
              <w:t>oenix</w:t>
            </w:r>
            <w:r w:rsidR="00157C67">
              <w:t>)</w:t>
            </w:r>
          </w:p>
          <w:p w14:paraId="5FECE0A9" w14:textId="370D09DF" w:rsidR="009E3B2D" w:rsidRDefault="009E3B2D" w:rsidP="009E3B2D">
            <w:pPr>
              <w:ind w:left="166" w:hanging="166"/>
            </w:pPr>
            <w:r>
              <w:t>Valerie Trottier, Sr Managing Director</w:t>
            </w:r>
            <w:r w:rsidR="00157C67">
              <w:t>,</w:t>
            </w:r>
            <w:r>
              <w:t xml:space="preserve"> Foundation &amp; Institutional Advisors</w:t>
            </w:r>
            <w:r w:rsidR="00157C67">
              <w:t xml:space="preserve"> (Ph</w:t>
            </w:r>
            <w:r w:rsidR="00DB5A24">
              <w:t>oenix</w:t>
            </w:r>
            <w:r w:rsidR="00157C67">
              <w:t>)</w:t>
            </w:r>
          </w:p>
          <w:p w14:paraId="675D954D" w14:textId="45267B74" w:rsidR="009E3B2D" w:rsidRDefault="009E3B2D" w:rsidP="009E3B2D">
            <w:pPr>
              <w:ind w:left="166" w:hanging="166"/>
            </w:pPr>
            <w:r>
              <w:t>Ryan McCauley, Managing Director</w:t>
            </w:r>
            <w:r w:rsidR="00157C67">
              <w:t>,</w:t>
            </w:r>
            <w:r>
              <w:t xml:space="preserve"> F</w:t>
            </w:r>
            <w:r w:rsidR="00157C67">
              <w:t>&amp;IA (Texas)</w:t>
            </w:r>
          </w:p>
        </w:tc>
        <w:tc>
          <w:tcPr>
            <w:tcW w:w="3238" w:type="dxa"/>
          </w:tcPr>
          <w:p w14:paraId="0C359DB1" w14:textId="78DCC16E" w:rsidR="008E5902" w:rsidRDefault="009E3B2D" w:rsidP="008C6EF5">
            <w:pPr>
              <w:tabs>
                <w:tab w:val="left" w:pos="1305"/>
              </w:tabs>
              <w:ind w:left="166" w:hanging="180"/>
            </w:pPr>
            <w:r w:rsidRPr="00174AA4">
              <w:rPr>
                <w:rFonts w:cstheme="minorHAnsi"/>
              </w:rPr>
              <w:t>Karen Charvonia</w:t>
            </w:r>
            <w:r w:rsidR="00174AA4" w:rsidRPr="00174AA4">
              <w:rPr>
                <w:rFonts w:cstheme="minorHAnsi"/>
              </w:rPr>
              <w:t xml:space="preserve">, </w:t>
            </w:r>
            <w:r w:rsidR="00174AA4" w:rsidRPr="00174AA4">
              <w:rPr>
                <w:rFonts w:eastAsia="Times New Roman" w:cstheme="minorHAnsi"/>
                <w:szCs w:val="32"/>
              </w:rPr>
              <w:t>Senior Vice President – Investment Officer</w:t>
            </w:r>
            <w:r w:rsidR="008C6EF5">
              <w:rPr>
                <w:rFonts w:eastAsia="Times New Roman" w:cstheme="minorHAnsi"/>
                <w:szCs w:val="32"/>
              </w:rPr>
              <w:t xml:space="preserve">, </w:t>
            </w:r>
            <w:r w:rsidR="00174AA4" w:rsidRPr="00174AA4">
              <w:rPr>
                <w:rFonts w:eastAsia="Times New Roman" w:cstheme="minorHAnsi"/>
                <w:szCs w:val="32"/>
              </w:rPr>
              <w:t>Fundamental Choice Portfolio Manager</w:t>
            </w:r>
            <w:r w:rsidR="008C6EF5">
              <w:rPr>
                <w:rFonts w:eastAsia="Times New Roman" w:cstheme="minorHAnsi"/>
                <w:szCs w:val="32"/>
              </w:rPr>
              <w:t xml:space="preserve"> (Scottsdale)</w:t>
            </w:r>
          </w:p>
        </w:tc>
      </w:tr>
      <w:tr w:rsidR="009E3B2D" w14:paraId="115817F9" w14:textId="77777777" w:rsidTr="00DB5A24">
        <w:tc>
          <w:tcPr>
            <w:tcW w:w="12950" w:type="dxa"/>
            <w:gridSpan w:val="4"/>
            <w:shd w:val="clear" w:color="auto" w:fill="FFE599" w:themeFill="accent4" w:themeFillTint="66"/>
          </w:tcPr>
          <w:p w14:paraId="1367D4B6" w14:textId="0EE5F105" w:rsidR="009E3B2D" w:rsidRPr="009E3B2D" w:rsidRDefault="009E3B2D" w:rsidP="006A3F55">
            <w:pPr>
              <w:jc w:val="center"/>
              <w:rPr>
                <w:b/>
                <w:bCs/>
              </w:rPr>
            </w:pPr>
            <w:r>
              <w:rPr>
                <w:b/>
                <w:bCs/>
              </w:rPr>
              <w:t>Fees</w:t>
            </w:r>
          </w:p>
        </w:tc>
      </w:tr>
      <w:tr w:rsidR="00E0559A" w14:paraId="4B32066B" w14:textId="77777777" w:rsidTr="00DB5A24">
        <w:tc>
          <w:tcPr>
            <w:tcW w:w="3237" w:type="dxa"/>
          </w:tcPr>
          <w:p w14:paraId="5CEA9EA7" w14:textId="77777777" w:rsidR="00E0559A" w:rsidRDefault="00D14D9B" w:rsidP="006A3F55">
            <w:pPr>
              <w:ind w:left="150" w:hanging="150"/>
            </w:pPr>
            <w:r>
              <w:t>Management Fee</w:t>
            </w:r>
          </w:p>
          <w:p w14:paraId="4DF21498" w14:textId="77777777" w:rsidR="00D14D9B" w:rsidRDefault="00D14D9B" w:rsidP="00D14D9B">
            <w:pPr>
              <w:ind w:left="150"/>
            </w:pPr>
            <w:r>
              <w:t>0.75% &lt; $5m</w:t>
            </w:r>
          </w:p>
          <w:p w14:paraId="5C12239A" w14:textId="77777777" w:rsidR="00D14D9B" w:rsidRDefault="00D14D9B" w:rsidP="00D14D9B">
            <w:pPr>
              <w:ind w:left="150"/>
            </w:pPr>
            <w:r>
              <w:t>0.5% &gt; $5m</w:t>
            </w:r>
          </w:p>
          <w:p w14:paraId="18698EFA" w14:textId="77777777" w:rsidR="00E549DE" w:rsidRDefault="00E549DE" w:rsidP="00E549DE">
            <w:pPr>
              <w:ind w:left="150" w:hanging="150"/>
            </w:pPr>
            <w:proofErr w:type="gramStart"/>
            <w:r>
              <w:t>Plus</w:t>
            </w:r>
            <w:proofErr w:type="gramEnd"/>
            <w:r>
              <w:t xml:space="preserve"> product level fees</w:t>
            </w:r>
          </w:p>
          <w:p w14:paraId="0415957A" w14:textId="679C68B2" w:rsidR="00790A99" w:rsidRDefault="00790A99" w:rsidP="00E549DE">
            <w:pPr>
              <w:ind w:left="150" w:hanging="150"/>
            </w:pPr>
            <w:r>
              <w:t>First year only, Schwab pays a $10K incentive fee back to new clients.</w:t>
            </w:r>
          </w:p>
        </w:tc>
        <w:tc>
          <w:tcPr>
            <w:tcW w:w="3237" w:type="dxa"/>
          </w:tcPr>
          <w:p w14:paraId="35817B36" w14:textId="77777777" w:rsidR="0057474C" w:rsidRDefault="0057474C" w:rsidP="006A3F55">
            <w:pPr>
              <w:ind w:left="76" w:hanging="76"/>
            </w:pPr>
            <w:r>
              <w:t>Investment Management Services Fee</w:t>
            </w:r>
          </w:p>
          <w:p w14:paraId="25D16C53" w14:textId="1AA238A1" w:rsidR="00E0559A" w:rsidRDefault="0057474C" w:rsidP="0057474C">
            <w:pPr>
              <w:ind w:left="76"/>
            </w:pPr>
            <w:r>
              <w:t>0.4% &lt; $7.5m</w:t>
            </w:r>
          </w:p>
          <w:p w14:paraId="5C632691" w14:textId="72735E73" w:rsidR="0057474C" w:rsidRDefault="0057474C" w:rsidP="0057474C">
            <w:pPr>
              <w:ind w:left="76"/>
            </w:pPr>
            <w:r>
              <w:t>0.3% &gt; $7.5m</w:t>
            </w:r>
          </w:p>
          <w:p w14:paraId="4EFB540B" w14:textId="1A0468DC" w:rsidR="0057474C" w:rsidRDefault="0057474C" w:rsidP="0057474C">
            <w:pPr>
              <w:ind w:left="76"/>
            </w:pPr>
            <w:r>
              <w:t>$2,500 annual min fee</w:t>
            </w:r>
          </w:p>
          <w:p w14:paraId="36378B13" w14:textId="71C21F24" w:rsidR="0057474C" w:rsidRDefault="0057474C" w:rsidP="0057474C">
            <w:pPr>
              <w:ind w:left="76" w:hanging="76"/>
            </w:pPr>
            <w:r>
              <w:t xml:space="preserve">Product Level Fees – </w:t>
            </w:r>
            <w:proofErr w:type="spellStart"/>
            <w:r>
              <w:t>est</w:t>
            </w:r>
            <w:proofErr w:type="spellEnd"/>
            <w:r>
              <w:t xml:space="preserve"> @ 0.35%</w:t>
            </w:r>
          </w:p>
          <w:p w14:paraId="3F319267" w14:textId="6922AD7C" w:rsidR="002F03A5" w:rsidRDefault="002F03A5" w:rsidP="0057474C">
            <w:pPr>
              <w:ind w:left="76" w:hanging="76"/>
            </w:pPr>
            <w:r>
              <w:t>Other:</w:t>
            </w:r>
          </w:p>
          <w:p w14:paraId="010914DA" w14:textId="3D78713E" w:rsidR="0057474C" w:rsidRDefault="0057474C" w:rsidP="0057474C">
            <w:pPr>
              <w:pStyle w:val="ListParagraph"/>
              <w:numPr>
                <w:ilvl w:val="0"/>
                <w:numId w:val="5"/>
              </w:numPr>
              <w:ind w:left="166" w:hanging="166"/>
            </w:pPr>
            <w:r>
              <w:t>$200 for &gt; 2 accounts</w:t>
            </w:r>
          </w:p>
          <w:p w14:paraId="509D1A96" w14:textId="649F65CD" w:rsidR="0057474C" w:rsidRDefault="0057474C" w:rsidP="0057474C">
            <w:pPr>
              <w:pStyle w:val="ListParagraph"/>
              <w:numPr>
                <w:ilvl w:val="0"/>
                <w:numId w:val="5"/>
              </w:numPr>
              <w:ind w:left="166" w:hanging="166"/>
            </w:pPr>
            <w:r>
              <w:t>$15 per disbursement</w:t>
            </w:r>
          </w:p>
          <w:p w14:paraId="521156DE" w14:textId="755D5EA2" w:rsidR="0057474C" w:rsidRDefault="0057474C" w:rsidP="0057474C">
            <w:pPr>
              <w:pStyle w:val="ListParagraph"/>
              <w:numPr>
                <w:ilvl w:val="0"/>
                <w:numId w:val="5"/>
              </w:numPr>
              <w:ind w:left="166" w:hanging="166"/>
            </w:pPr>
            <w:r>
              <w:t>Postage</w:t>
            </w:r>
          </w:p>
          <w:p w14:paraId="16671A07" w14:textId="08E26ED2" w:rsidR="0057474C" w:rsidRDefault="002F03A5" w:rsidP="0057474C">
            <w:pPr>
              <w:ind w:left="-14"/>
            </w:pPr>
            <w:r>
              <w:t xml:space="preserve">If an account is terminated, a final fee based on time, cost, and responsibility will be charged.  If &lt; </w:t>
            </w:r>
            <w:proofErr w:type="gramStart"/>
            <w:r>
              <w:t>1 year</w:t>
            </w:r>
            <w:proofErr w:type="gramEnd"/>
            <w:r>
              <w:t>, full annual management fee will be charged</w:t>
            </w:r>
          </w:p>
        </w:tc>
        <w:tc>
          <w:tcPr>
            <w:tcW w:w="3238" w:type="dxa"/>
          </w:tcPr>
          <w:p w14:paraId="0D402EEA" w14:textId="37CBB99E" w:rsidR="00C51701" w:rsidRDefault="00C51701" w:rsidP="006A3F55">
            <w:pPr>
              <w:ind w:left="166" w:hanging="166"/>
            </w:pPr>
            <w:r>
              <w:t>Advisory Services Fee</w:t>
            </w:r>
          </w:p>
          <w:p w14:paraId="5D0B816A" w14:textId="77777777" w:rsidR="00C51701" w:rsidRDefault="00C51701" w:rsidP="00C51701">
            <w:pPr>
              <w:ind w:left="166"/>
            </w:pPr>
            <w:r>
              <w:t>0.5% - &lt; $10m</w:t>
            </w:r>
          </w:p>
          <w:p w14:paraId="52E853D6" w14:textId="77777777" w:rsidR="00C51701" w:rsidRDefault="00C51701" w:rsidP="00C51701">
            <w:pPr>
              <w:ind w:left="166"/>
            </w:pPr>
            <w:r>
              <w:t>0.25% - $10m - $15m</w:t>
            </w:r>
          </w:p>
          <w:p w14:paraId="762B7B24" w14:textId="77777777" w:rsidR="00C51701" w:rsidRDefault="00C51701" w:rsidP="00C51701">
            <w:pPr>
              <w:ind w:left="166"/>
            </w:pPr>
            <w:r>
              <w:t xml:space="preserve">0.2% - $15m - </w:t>
            </w:r>
            <w:r w:rsidR="00ED6E3E">
              <w:t>$25m</w:t>
            </w:r>
          </w:p>
          <w:p w14:paraId="3D20F256" w14:textId="77777777" w:rsidR="00ED6E3E" w:rsidRDefault="00ED6E3E" w:rsidP="00C51701">
            <w:pPr>
              <w:ind w:left="166"/>
            </w:pPr>
            <w:r>
              <w:t>0.15% - $25m - $50m</w:t>
            </w:r>
          </w:p>
          <w:p w14:paraId="142EE4D8" w14:textId="77777777" w:rsidR="00ED6E3E" w:rsidRDefault="00ED6E3E" w:rsidP="00ED6E3E">
            <w:pPr>
              <w:ind w:left="166"/>
            </w:pPr>
            <w:r>
              <w:t>Waive min $50,000 for first 3 years</w:t>
            </w:r>
          </w:p>
          <w:p w14:paraId="11424F49" w14:textId="7534367D" w:rsidR="00ED6E3E" w:rsidRDefault="00ED6E3E" w:rsidP="00ED6E3E">
            <w:pPr>
              <w:ind w:left="166" w:hanging="166"/>
            </w:pPr>
            <w:r>
              <w:t xml:space="preserve">Product Level Fees – </w:t>
            </w:r>
            <w:proofErr w:type="spellStart"/>
            <w:r>
              <w:t>est</w:t>
            </w:r>
            <w:proofErr w:type="spellEnd"/>
            <w:r>
              <w:t xml:space="preserve"> @ 0.24</w:t>
            </w:r>
            <w:r w:rsidR="00E549DE">
              <w:t xml:space="preserve"> – 0.35</w:t>
            </w:r>
            <w:r>
              <w:t>%</w:t>
            </w:r>
          </w:p>
          <w:p w14:paraId="68FFE567" w14:textId="77777777" w:rsidR="00ED6E3E" w:rsidRDefault="00ED6E3E" w:rsidP="00ED6E3E">
            <w:pPr>
              <w:ind w:left="166" w:hanging="166"/>
            </w:pPr>
            <w:r>
              <w:t>Additional Services</w:t>
            </w:r>
          </w:p>
          <w:p w14:paraId="62CEE20A" w14:textId="77777777" w:rsidR="00ED6E3E" w:rsidRDefault="00ED6E3E" w:rsidP="00ED6E3E">
            <w:pPr>
              <w:pStyle w:val="ListParagraph"/>
              <w:numPr>
                <w:ilvl w:val="0"/>
                <w:numId w:val="2"/>
              </w:numPr>
              <w:ind w:left="256" w:hanging="180"/>
            </w:pPr>
            <w:r>
              <w:t>Planned Giving Management, Administration and Reporting</w:t>
            </w:r>
          </w:p>
          <w:p w14:paraId="0504F8D3" w14:textId="6B3B739B" w:rsidR="00ED6E3E" w:rsidRDefault="00ED6E3E" w:rsidP="00ED6E3E">
            <w:pPr>
              <w:pStyle w:val="ListParagraph"/>
              <w:numPr>
                <w:ilvl w:val="0"/>
                <w:numId w:val="2"/>
              </w:numPr>
              <w:ind w:left="256" w:hanging="180"/>
            </w:pPr>
            <w:r>
              <w:t>Plan Allocation Reporting</w:t>
            </w:r>
          </w:p>
          <w:p w14:paraId="48619F9A" w14:textId="77777777" w:rsidR="00ED6E3E" w:rsidRDefault="00ED6E3E" w:rsidP="00ED6E3E">
            <w:pPr>
              <w:pStyle w:val="ListParagraph"/>
              <w:numPr>
                <w:ilvl w:val="0"/>
                <w:numId w:val="2"/>
              </w:numPr>
              <w:ind w:left="256" w:hanging="180"/>
            </w:pPr>
            <w:r>
              <w:t>Philanthropic Advisory Services</w:t>
            </w:r>
          </w:p>
          <w:p w14:paraId="59C2F2B9" w14:textId="77777777" w:rsidR="00ED6E3E" w:rsidRDefault="00ED6E3E" w:rsidP="00ED6E3E">
            <w:pPr>
              <w:pStyle w:val="ListParagraph"/>
              <w:numPr>
                <w:ilvl w:val="0"/>
                <w:numId w:val="2"/>
              </w:numPr>
              <w:ind w:left="256" w:hanging="180"/>
            </w:pPr>
            <w:r>
              <w:t>Specialty Asset Management and Administration</w:t>
            </w:r>
          </w:p>
          <w:p w14:paraId="6FE58B86" w14:textId="77777777" w:rsidR="00ED6E3E" w:rsidRDefault="00ED6E3E" w:rsidP="00ED6E3E">
            <w:pPr>
              <w:pStyle w:val="ListParagraph"/>
              <w:numPr>
                <w:ilvl w:val="0"/>
                <w:numId w:val="2"/>
              </w:numPr>
              <w:ind w:left="256" w:hanging="180"/>
            </w:pPr>
            <w:r>
              <w:t>Banking/Credit Services</w:t>
            </w:r>
          </w:p>
          <w:p w14:paraId="0010C303" w14:textId="0E79C0C9" w:rsidR="00ED6E3E" w:rsidRDefault="00ED6E3E" w:rsidP="00ED6E3E">
            <w:pPr>
              <w:pStyle w:val="ListParagraph"/>
              <w:numPr>
                <w:ilvl w:val="0"/>
                <w:numId w:val="2"/>
              </w:numPr>
              <w:ind w:left="256" w:hanging="180"/>
            </w:pPr>
            <w:r>
              <w:t>Alternatives Advisory Services</w:t>
            </w:r>
          </w:p>
        </w:tc>
        <w:tc>
          <w:tcPr>
            <w:tcW w:w="3238" w:type="dxa"/>
          </w:tcPr>
          <w:p w14:paraId="1E15F3AD" w14:textId="62DF8736" w:rsidR="00E0559A" w:rsidRDefault="008C6EF5" w:rsidP="006A3F55">
            <w:pPr>
              <w:ind w:left="76" w:hanging="76"/>
            </w:pPr>
            <w:r>
              <w:t xml:space="preserve">0.54% </w:t>
            </w:r>
            <w:r w:rsidRPr="008C6EF5">
              <w:rPr>
                <w:rFonts w:cstheme="minorHAnsi"/>
                <w:color w:val="222222"/>
                <w:shd w:val="clear" w:color="auto" w:fill="FFFFFF"/>
              </w:rPr>
              <w:t>all inclusive; there are no other charges anywhere. This includes the internal management fee for each of the programs as well as any internal fees from the Exchange Traded Funds and Mutual Funds that are in each account</w:t>
            </w:r>
            <w:r>
              <w:rPr>
                <w:rFonts w:cstheme="minorHAnsi"/>
                <w:color w:val="222222"/>
                <w:shd w:val="clear" w:color="auto" w:fill="FFFFFF"/>
              </w:rPr>
              <w:t>.</w:t>
            </w:r>
          </w:p>
        </w:tc>
      </w:tr>
    </w:tbl>
    <w:p w14:paraId="6785526B" w14:textId="77777777" w:rsidR="00DB5A24" w:rsidRDefault="00DB5A24">
      <w:r>
        <w:br w:type="page"/>
      </w:r>
    </w:p>
    <w:tbl>
      <w:tblPr>
        <w:tblStyle w:val="TableGrid"/>
        <w:tblW w:w="0" w:type="auto"/>
        <w:tblLook w:val="06A0" w:firstRow="1" w:lastRow="0" w:firstColumn="1" w:lastColumn="0" w:noHBand="1" w:noVBand="1"/>
      </w:tblPr>
      <w:tblGrid>
        <w:gridCol w:w="3237"/>
        <w:gridCol w:w="3237"/>
        <w:gridCol w:w="3238"/>
        <w:gridCol w:w="3238"/>
      </w:tblGrid>
      <w:tr w:rsidR="00DB5A24" w14:paraId="4BA8C652" w14:textId="77777777" w:rsidTr="006A3F55">
        <w:trPr>
          <w:cantSplit/>
          <w:tblHeader/>
        </w:trPr>
        <w:tc>
          <w:tcPr>
            <w:tcW w:w="3237" w:type="dxa"/>
            <w:shd w:val="clear" w:color="auto" w:fill="F4B083" w:themeFill="accent2" w:themeFillTint="99"/>
          </w:tcPr>
          <w:p w14:paraId="41895B15" w14:textId="77777777" w:rsidR="00DB5A24" w:rsidRPr="008E5902" w:rsidRDefault="00DB5A24" w:rsidP="006A3F55">
            <w:pPr>
              <w:jc w:val="center"/>
              <w:rPr>
                <w:b/>
                <w:bCs/>
              </w:rPr>
            </w:pPr>
            <w:r>
              <w:rPr>
                <w:b/>
                <w:bCs/>
              </w:rPr>
              <w:lastRenderedPageBreak/>
              <w:t>Beacon Pointe/Schwab (BP)</w:t>
            </w:r>
          </w:p>
        </w:tc>
        <w:tc>
          <w:tcPr>
            <w:tcW w:w="3237" w:type="dxa"/>
            <w:shd w:val="clear" w:color="auto" w:fill="F4B083" w:themeFill="accent2" w:themeFillTint="99"/>
          </w:tcPr>
          <w:p w14:paraId="4D77FD9C" w14:textId="77777777" w:rsidR="00DB5A24" w:rsidRPr="008E5902" w:rsidRDefault="00DB5A24" w:rsidP="006A3F55">
            <w:pPr>
              <w:jc w:val="center"/>
              <w:rPr>
                <w:b/>
                <w:bCs/>
              </w:rPr>
            </w:pPr>
            <w:r>
              <w:rPr>
                <w:b/>
                <w:bCs/>
              </w:rPr>
              <w:t>BOK</w:t>
            </w:r>
          </w:p>
        </w:tc>
        <w:tc>
          <w:tcPr>
            <w:tcW w:w="3238" w:type="dxa"/>
            <w:shd w:val="clear" w:color="auto" w:fill="F4B083" w:themeFill="accent2" w:themeFillTint="99"/>
          </w:tcPr>
          <w:p w14:paraId="0F49205E" w14:textId="77777777" w:rsidR="00DB5A24" w:rsidRPr="008E5902" w:rsidRDefault="00DB5A24" w:rsidP="006A3F55">
            <w:pPr>
              <w:jc w:val="center"/>
              <w:rPr>
                <w:b/>
                <w:bCs/>
              </w:rPr>
            </w:pPr>
            <w:r>
              <w:rPr>
                <w:b/>
                <w:bCs/>
              </w:rPr>
              <w:t>Northern Trust (TNT)</w:t>
            </w:r>
          </w:p>
        </w:tc>
        <w:tc>
          <w:tcPr>
            <w:tcW w:w="3238" w:type="dxa"/>
            <w:shd w:val="clear" w:color="auto" w:fill="F4B083" w:themeFill="accent2" w:themeFillTint="99"/>
          </w:tcPr>
          <w:p w14:paraId="036B6FB3" w14:textId="77777777" w:rsidR="00DB5A24" w:rsidRPr="008E5902" w:rsidRDefault="00DB5A24" w:rsidP="006A3F55">
            <w:pPr>
              <w:jc w:val="center"/>
              <w:rPr>
                <w:b/>
                <w:bCs/>
              </w:rPr>
            </w:pPr>
            <w:r>
              <w:rPr>
                <w:b/>
                <w:bCs/>
              </w:rPr>
              <w:t>Wells Fargo (WF)</w:t>
            </w:r>
          </w:p>
        </w:tc>
      </w:tr>
      <w:tr w:rsidR="00D567A7" w14:paraId="1A5A38F4" w14:textId="77777777" w:rsidTr="006A3F55">
        <w:tc>
          <w:tcPr>
            <w:tcW w:w="12950" w:type="dxa"/>
            <w:gridSpan w:val="4"/>
            <w:shd w:val="clear" w:color="auto" w:fill="FFE599" w:themeFill="accent4" w:themeFillTint="66"/>
          </w:tcPr>
          <w:p w14:paraId="1898008F" w14:textId="77777777" w:rsidR="00D567A7" w:rsidRPr="009E3B2D" w:rsidRDefault="00D567A7" w:rsidP="006A3F55">
            <w:pPr>
              <w:jc w:val="center"/>
              <w:rPr>
                <w:b/>
                <w:bCs/>
              </w:rPr>
            </w:pPr>
            <w:r>
              <w:rPr>
                <w:b/>
                <w:bCs/>
              </w:rPr>
              <w:t>Fiduciary Support – All include support with Investment Policy Management except Wells Fargo</w:t>
            </w:r>
          </w:p>
        </w:tc>
      </w:tr>
      <w:tr w:rsidR="00D567A7" w14:paraId="25DD039D" w14:textId="77777777" w:rsidTr="006A3F55">
        <w:tc>
          <w:tcPr>
            <w:tcW w:w="3237" w:type="dxa"/>
          </w:tcPr>
          <w:p w14:paraId="1247BBAA" w14:textId="77777777" w:rsidR="00D567A7" w:rsidRDefault="00D567A7" w:rsidP="006A3F55">
            <w:pPr>
              <w:ind w:left="150" w:hanging="150"/>
            </w:pPr>
            <w:r>
              <w:t>OCIO Service Model</w:t>
            </w:r>
          </w:p>
        </w:tc>
        <w:tc>
          <w:tcPr>
            <w:tcW w:w="3237" w:type="dxa"/>
          </w:tcPr>
          <w:p w14:paraId="64F7261F" w14:textId="77777777" w:rsidR="00D567A7" w:rsidRDefault="00D567A7" w:rsidP="006A3F55">
            <w:pPr>
              <w:ind w:left="76" w:hanging="76"/>
            </w:pPr>
            <w:r>
              <w:t>Outsourced Chief Investment Officer (Outsourced CIO) model.</w:t>
            </w:r>
          </w:p>
        </w:tc>
        <w:tc>
          <w:tcPr>
            <w:tcW w:w="3238" w:type="dxa"/>
          </w:tcPr>
          <w:p w14:paraId="787E6A65" w14:textId="77777777" w:rsidR="00D567A7" w:rsidRDefault="00D567A7" w:rsidP="006A3F55">
            <w:pPr>
              <w:ind w:left="76" w:hanging="76"/>
            </w:pPr>
            <w:r>
              <w:t>Act as an Outsourced Chief Investment Officer (OCIO)</w:t>
            </w:r>
          </w:p>
        </w:tc>
        <w:tc>
          <w:tcPr>
            <w:tcW w:w="3238" w:type="dxa"/>
          </w:tcPr>
          <w:p w14:paraId="24C49D8D" w14:textId="77777777" w:rsidR="00D567A7" w:rsidRDefault="00D567A7" w:rsidP="006A3F55">
            <w:pPr>
              <w:ind w:left="76" w:hanging="76"/>
            </w:pPr>
            <w:r>
              <w:t>Relies on investment managers assigned by WF</w:t>
            </w:r>
          </w:p>
        </w:tc>
      </w:tr>
      <w:tr w:rsidR="00D567A7" w14:paraId="08DAE54F" w14:textId="77777777" w:rsidTr="006A3F55">
        <w:tc>
          <w:tcPr>
            <w:tcW w:w="12950" w:type="dxa"/>
            <w:gridSpan w:val="4"/>
            <w:shd w:val="clear" w:color="auto" w:fill="FFE599" w:themeFill="accent4" w:themeFillTint="66"/>
          </w:tcPr>
          <w:p w14:paraId="63A69625" w14:textId="77777777" w:rsidR="00D567A7" w:rsidRPr="009E3B2D" w:rsidRDefault="00D567A7" w:rsidP="006A3F55">
            <w:pPr>
              <w:jc w:val="center"/>
              <w:rPr>
                <w:b/>
                <w:bCs/>
              </w:rPr>
            </w:pPr>
            <w:r>
              <w:rPr>
                <w:b/>
                <w:bCs/>
              </w:rPr>
              <w:t>Investment Strategy</w:t>
            </w:r>
          </w:p>
        </w:tc>
      </w:tr>
      <w:tr w:rsidR="00D567A7" w14:paraId="513782FB" w14:textId="77777777" w:rsidTr="006A3F55">
        <w:tc>
          <w:tcPr>
            <w:tcW w:w="3237" w:type="dxa"/>
          </w:tcPr>
          <w:p w14:paraId="509BAF56" w14:textId="77777777" w:rsidR="00D567A7" w:rsidRDefault="00D567A7" w:rsidP="006A3F55">
            <w:pPr>
              <w:ind w:left="150" w:hanging="150"/>
            </w:pPr>
            <w:r>
              <w:t>Quarterly investment strategy driven by macroeconomic research and valuation (BP Investment Committee)</w:t>
            </w:r>
          </w:p>
          <w:p w14:paraId="7FA25373" w14:textId="77777777" w:rsidR="00D567A7" w:rsidRDefault="00D567A7" w:rsidP="006A3F55">
            <w:pPr>
              <w:ind w:left="150" w:hanging="150"/>
            </w:pPr>
            <w:r>
              <w:t>Potential Initial Investment Mix:</w:t>
            </w:r>
          </w:p>
          <w:p w14:paraId="1168617C" w14:textId="77777777" w:rsidR="00D567A7" w:rsidRDefault="00D567A7" w:rsidP="006A3F55">
            <w:pPr>
              <w:ind w:left="150" w:hanging="150"/>
            </w:pPr>
            <w:r>
              <w:t>32% Domestic Equities; 19% International Equities, 23% Fixed Income, 21% Alternatives</w:t>
            </w:r>
          </w:p>
        </w:tc>
        <w:tc>
          <w:tcPr>
            <w:tcW w:w="3237" w:type="dxa"/>
          </w:tcPr>
          <w:p w14:paraId="6C708B84" w14:textId="77777777" w:rsidR="00D567A7" w:rsidRDefault="00D567A7" w:rsidP="006A3F55">
            <w:pPr>
              <w:ind w:left="76" w:hanging="76"/>
            </w:pPr>
            <w:r>
              <w:t>Leverage Asset Allocation Committee who sets broad allocation guidelines</w:t>
            </w:r>
          </w:p>
          <w:p w14:paraId="34A52D02" w14:textId="77777777" w:rsidR="00D567A7" w:rsidRDefault="00D567A7" w:rsidP="006A3F55">
            <w:pPr>
              <w:ind w:left="76" w:hanging="76"/>
            </w:pPr>
            <w:r>
              <w:t>Potential Investment Mix (Income/Growth)</w:t>
            </w:r>
          </w:p>
          <w:p w14:paraId="3FBC687D" w14:textId="77777777" w:rsidR="00D567A7" w:rsidRDefault="00D567A7" w:rsidP="006A3F55">
            <w:pPr>
              <w:ind w:left="76" w:hanging="76"/>
            </w:pPr>
            <w:r>
              <w:t>Fixed Income (58%/43%); Equities (31%/57%); Alternatives (11%/10%)</w:t>
            </w:r>
          </w:p>
        </w:tc>
        <w:tc>
          <w:tcPr>
            <w:tcW w:w="3238" w:type="dxa"/>
          </w:tcPr>
          <w:p w14:paraId="3A01572E" w14:textId="77777777" w:rsidR="00D567A7" w:rsidRDefault="00D567A7" w:rsidP="006A3F55">
            <w:pPr>
              <w:ind w:left="76" w:hanging="76"/>
            </w:pPr>
            <w:r>
              <w:t>Investment strategy starts with a long-term, strategic outlook overlaid with a shorter-term tactical plan</w:t>
            </w:r>
          </w:p>
        </w:tc>
        <w:tc>
          <w:tcPr>
            <w:tcW w:w="3238" w:type="dxa"/>
          </w:tcPr>
          <w:p w14:paraId="607A5C65" w14:textId="77777777" w:rsidR="00D567A7" w:rsidRDefault="00D567A7" w:rsidP="006A3F55">
            <w:pPr>
              <w:ind w:left="76" w:hanging="76"/>
            </w:pPr>
            <w:r>
              <w:t>Bonds/Equity mix determined by Investment Managers based on Risk Classification</w:t>
            </w:r>
          </w:p>
        </w:tc>
      </w:tr>
      <w:tr w:rsidR="009E3B2D" w14:paraId="3ACFF307" w14:textId="77777777" w:rsidTr="00D652CC">
        <w:tc>
          <w:tcPr>
            <w:tcW w:w="12950" w:type="dxa"/>
            <w:gridSpan w:val="4"/>
            <w:shd w:val="clear" w:color="auto" w:fill="FFE599" w:themeFill="accent4" w:themeFillTint="66"/>
          </w:tcPr>
          <w:p w14:paraId="7B9C6B5E" w14:textId="125CE39E" w:rsidR="009E3B2D" w:rsidRPr="009E3B2D" w:rsidRDefault="00D652CC" w:rsidP="006A3F55">
            <w:pPr>
              <w:jc w:val="center"/>
              <w:rPr>
                <w:b/>
                <w:bCs/>
              </w:rPr>
            </w:pPr>
            <w:r>
              <w:rPr>
                <w:b/>
                <w:bCs/>
              </w:rPr>
              <w:t>Reporting/</w:t>
            </w:r>
            <w:r w:rsidR="00E0559A">
              <w:rPr>
                <w:b/>
                <w:bCs/>
              </w:rPr>
              <w:t>Benchmarks</w:t>
            </w:r>
            <w:r w:rsidR="00DB5A24">
              <w:rPr>
                <w:b/>
                <w:bCs/>
              </w:rPr>
              <w:t xml:space="preserve"> – All presented adequate reporting to compare to benchmarks (except Wells Fargo)</w:t>
            </w:r>
          </w:p>
        </w:tc>
      </w:tr>
      <w:tr w:rsidR="008E5902" w14:paraId="241ADC0C" w14:textId="77777777" w:rsidTr="00D652CC">
        <w:tc>
          <w:tcPr>
            <w:tcW w:w="3237" w:type="dxa"/>
          </w:tcPr>
          <w:p w14:paraId="75455C4E" w14:textId="1CD8B519" w:rsidR="008E5902" w:rsidRDefault="009856EB" w:rsidP="00C51701">
            <w:pPr>
              <w:ind w:left="60" w:hanging="60"/>
            </w:pPr>
            <w:r>
              <w:t xml:space="preserve">The benchmark is typically a passive index, or combination of passive indices based on the strategic long-term portfolio asset allocation; we recommend an appropriate portfolio level </w:t>
            </w:r>
            <w:proofErr w:type="gramStart"/>
            <w:r>
              <w:t>benchmark, and</w:t>
            </w:r>
            <w:proofErr w:type="gramEnd"/>
            <w:r>
              <w:t xml:space="preserve"> have the ability to benchmark it individual asset class for enhanced granularity.</w:t>
            </w:r>
          </w:p>
        </w:tc>
        <w:tc>
          <w:tcPr>
            <w:tcW w:w="3237" w:type="dxa"/>
          </w:tcPr>
          <w:p w14:paraId="00F31307" w14:textId="5B34F246" w:rsidR="008E5902" w:rsidRPr="00DD515A" w:rsidRDefault="00DD515A" w:rsidP="00C51701">
            <w:pPr>
              <w:ind w:left="76" w:hanging="76"/>
              <w:rPr>
                <w:rFonts w:cstheme="minorHAnsi"/>
              </w:rPr>
            </w:pPr>
            <w:r w:rsidRPr="00DD515A">
              <w:rPr>
                <w:rStyle w:val="fontstyle01"/>
                <w:rFonts w:asciiTheme="minorHAnsi" w:hAnsiTheme="minorHAnsi" w:cstheme="minorHAnsi"/>
              </w:rPr>
              <w:t xml:space="preserve">BOKF uses the data from Investment Metrics/ </w:t>
            </w:r>
            <w:proofErr w:type="spellStart"/>
            <w:r w:rsidRPr="00DD515A">
              <w:rPr>
                <w:rStyle w:val="fontstyle01"/>
                <w:rFonts w:asciiTheme="minorHAnsi" w:hAnsiTheme="minorHAnsi" w:cstheme="minorHAnsi"/>
              </w:rPr>
              <w:t>InvestorForce</w:t>
            </w:r>
            <w:proofErr w:type="spellEnd"/>
            <w:r w:rsidRPr="00DD515A">
              <w:rPr>
                <w:rStyle w:val="fontstyle01"/>
                <w:rFonts w:asciiTheme="minorHAnsi" w:hAnsiTheme="minorHAnsi" w:cstheme="minorHAnsi"/>
              </w:rPr>
              <w:t xml:space="preserve"> Plan Universes to provide a comparison of rates of return and risk</w:t>
            </w:r>
            <w:r>
              <w:rPr>
                <w:rStyle w:val="fontstyle01"/>
                <w:rFonts w:asciiTheme="minorHAnsi" w:hAnsiTheme="minorHAnsi" w:cstheme="minorHAnsi"/>
              </w:rPr>
              <w:t xml:space="preserve"> </w:t>
            </w:r>
            <w:r w:rsidRPr="00DD515A">
              <w:rPr>
                <w:rStyle w:val="fontstyle01"/>
                <w:rFonts w:asciiTheme="minorHAnsi" w:hAnsiTheme="minorHAnsi" w:cstheme="minorHAnsi"/>
              </w:rPr>
              <w:t>analytics between our clients and their peers.</w:t>
            </w:r>
          </w:p>
        </w:tc>
        <w:tc>
          <w:tcPr>
            <w:tcW w:w="3238" w:type="dxa"/>
          </w:tcPr>
          <w:p w14:paraId="082D9C3C" w14:textId="59BF4251" w:rsidR="00E0559A" w:rsidRDefault="00FB5FF0" w:rsidP="00C51701">
            <w:pPr>
              <w:ind w:left="76" w:hanging="76"/>
            </w:pPr>
            <w:r>
              <w:t xml:space="preserve">Recommend using benchmarks for each </w:t>
            </w:r>
            <w:r w:rsidR="001117EF">
              <w:t xml:space="preserve">portfolio </w:t>
            </w:r>
            <w:r>
              <w:t>strategy employed and each asset class. Additionally, we develop a custom weighted benchmark based on the strategic allocation of the portfolio. Our system can calculate complex index blends incl comb</w:t>
            </w:r>
            <w:r w:rsidR="001117EF">
              <w:t>os</w:t>
            </w:r>
            <w:r>
              <w:t xml:space="preserve"> of indexes using various weighting schemes.</w:t>
            </w:r>
          </w:p>
        </w:tc>
        <w:tc>
          <w:tcPr>
            <w:tcW w:w="3238" w:type="dxa"/>
          </w:tcPr>
          <w:p w14:paraId="58CF4F1C" w14:textId="77777777" w:rsidR="008E5902" w:rsidRDefault="008E5902" w:rsidP="00C51701">
            <w:pPr>
              <w:ind w:left="76" w:hanging="76"/>
            </w:pPr>
          </w:p>
        </w:tc>
      </w:tr>
      <w:tr w:rsidR="009E3B2D" w14:paraId="4A98BEBD" w14:textId="77777777" w:rsidTr="00D652CC">
        <w:tc>
          <w:tcPr>
            <w:tcW w:w="12950" w:type="dxa"/>
            <w:gridSpan w:val="4"/>
            <w:shd w:val="clear" w:color="auto" w:fill="FFE599" w:themeFill="accent4" w:themeFillTint="66"/>
          </w:tcPr>
          <w:p w14:paraId="7EDBA012" w14:textId="1CFFEF74" w:rsidR="009E3B2D" w:rsidRPr="009E3B2D" w:rsidRDefault="00C51701" w:rsidP="006A3F55">
            <w:pPr>
              <w:jc w:val="center"/>
              <w:rPr>
                <w:b/>
                <w:bCs/>
              </w:rPr>
            </w:pPr>
            <w:r>
              <w:rPr>
                <w:b/>
                <w:bCs/>
              </w:rPr>
              <w:t>Knowledge Sharing</w:t>
            </w:r>
            <w:r w:rsidR="00350639">
              <w:rPr>
                <w:b/>
                <w:bCs/>
              </w:rPr>
              <w:t xml:space="preserve"> – All available for quarterly updates and more frequent discussions, presentations, etc. as needed</w:t>
            </w:r>
          </w:p>
        </w:tc>
      </w:tr>
      <w:tr w:rsidR="00E0559A" w14:paraId="5CEDCBD2" w14:textId="77777777" w:rsidTr="00D652CC">
        <w:tc>
          <w:tcPr>
            <w:tcW w:w="3237" w:type="dxa"/>
          </w:tcPr>
          <w:p w14:paraId="7164EBCC" w14:textId="77777777" w:rsidR="00E549DE" w:rsidRDefault="00E549DE" w:rsidP="006A3F55">
            <w:pPr>
              <w:ind w:left="150" w:hanging="150"/>
            </w:pPr>
            <w:r>
              <w:t>Quarterly Outlook Executive Summary</w:t>
            </w:r>
          </w:p>
          <w:p w14:paraId="15BE520C" w14:textId="77777777" w:rsidR="00E549DE" w:rsidRDefault="00E549DE" w:rsidP="006A3F55">
            <w:pPr>
              <w:ind w:left="150" w:hanging="150"/>
            </w:pPr>
            <w:r>
              <w:t>Monthly Podcasts</w:t>
            </w:r>
          </w:p>
          <w:p w14:paraId="6A9D6EC8" w14:textId="77777777" w:rsidR="00E549DE" w:rsidRDefault="00E549DE" w:rsidP="006A3F55">
            <w:pPr>
              <w:ind w:left="150" w:hanging="150"/>
            </w:pPr>
            <w:r>
              <w:t>White Papers</w:t>
            </w:r>
          </w:p>
          <w:p w14:paraId="132C60DF" w14:textId="0B6CDE6B" w:rsidR="00E0559A" w:rsidRDefault="00D14D9B" w:rsidP="006A3F55">
            <w:pPr>
              <w:ind w:left="150" w:hanging="150"/>
            </w:pPr>
            <w:r>
              <w:t>Ongoing Education for FAC and staff</w:t>
            </w:r>
          </w:p>
        </w:tc>
        <w:tc>
          <w:tcPr>
            <w:tcW w:w="3237" w:type="dxa"/>
          </w:tcPr>
          <w:p w14:paraId="288CF87F" w14:textId="7AC110E5" w:rsidR="00E0559A" w:rsidRDefault="007B1803" w:rsidP="006A3F55">
            <w:pPr>
              <w:ind w:left="76" w:hanging="76"/>
            </w:pPr>
            <w:r>
              <w:t>Weekly Market Update</w:t>
            </w:r>
          </w:p>
        </w:tc>
        <w:tc>
          <w:tcPr>
            <w:tcW w:w="3238" w:type="dxa"/>
          </w:tcPr>
          <w:p w14:paraId="1AAB30A5" w14:textId="77777777" w:rsidR="00E0559A" w:rsidRDefault="00C51701" w:rsidP="006A3F55">
            <w:pPr>
              <w:ind w:left="166" w:hanging="166"/>
            </w:pPr>
            <w:r>
              <w:t>Foundation &amp; Institutional Advisors Conferences</w:t>
            </w:r>
          </w:p>
          <w:p w14:paraId="4FEAEFDF" w14:textId="77777777" w:rsidR="00C51701" w:rsidRDefault="00C51701" w:rsidP="006A3F55">
            <w:pPr>
              <w:ind w:left="166" w:hanging="166"/>
            </w:pPr>
            <w:r>
              <w:t>Foundation &amp; Institutional Whitepapers/Webinars</w:t>
            </w:r>
          </w:p>
          <w:p w14:paraId="6422C320" w14:textId="77777777" w:rsidR="00C51701" w:rsidRDefault="00C51701" w:rsidP="006A3F55">
            <w:pPr>
              <w:ind w:left="166" w:hanging="166"/>
            </w:pPr>
            <w:r>
              <w:t>Custom Programming</w:t>
            </w:r>
          </w:p>
          <w:p w14:paraId="341B5C35" w14:textId="77777777" w:rsidR="00C51701" w:rsidRDefault="00C51701" w:rsidP="006A3F55">
            <w:pPr>
              <w:ind w:left="166" w:hanging="166"/>
            </w:pPr>
            <w:r>
              <w:t>Market &amp; Economic Commentary</w:t>
            </w:r>
          </w:p>
          <w:p w14:paraId="16E0569B" w14:textId="77777777" w:rsidR="00C51701" w:rsidRDefault="00C51701" w:rsidP="006A3F55">
            <w:pPr>
              <w:ind w:left="166" w:hanging="166"/>
            </w:pPr>
            <w:r>
              <w:t>Publications</w:t>
            </w:r>
          </w:p>
          <w:p w14:paraId="4325DD6E" w14:textId="191250F2" w:rsidR="00C51701" w:rsidRDefault="00C51701" w:rsidP="006A3F55">
            <w:pPr>
              <w:ind w:left="166" w:hanging="166"/>
            </w:pPr>
            <w:r>
              <w:t>Client Events</w:t>
            </w:r>
          </w:p>
        </w:tc>
        <w:tc>
          <w:tcPr>
            <w:tcW w:w="3238" w:type="dxa"/>
          </w:tcPr>
          <w:p w14:paraId="635D891B" w14:textId="77777777" w:rsidR="00E0559A" w:rsidRDefault="00073AF5" w:rsidP="006A3F55">
            <w:pPr>
              <w:ind w:left="76" w:hanging="76"/>
            </w:pPr>
            <w:r>
              <w:t>Weekly Market Perspectives (shared occasionally)</w:t>
            </w:r>
          </w:p>
          <w:p w14:paraId="29707670" w14:textId="77777777" w:rsidR="00982E1A" w:rsidRDefault="00073AF5" w:rsidP="00982E1A">
            <w:pPr>
              <w:ind w:left="76" w:hanging="76"/>
            </w:pPr>
            <w:r>
              <w:t xml:space="preserve">As needed market driven </w:t>
            </w:r>
            <w:r w:rsidR="00982E1A">
              <w:t>updates</w:t>
            </w:r>
          </w:p>
          <w:p w14:paraId="1EAC8EC5" w14:textId="451F2487" w:rsidR="00982E1A" w:rsidRDefault="00982E1A" w:rsidP="00982E1A">
            <w:pPr>
              <w:ind w:left="76" w:hanging="76"/>
            </w:pPr>
            <w:r>
              <w:t>Webcasts</w:t>
            </w:r>
          </w:p>
        </w:tc>
      </w:tr>
    </w:tbl>
    <w:p w14:paraId="22CFF8A0" w14:textId="77777777" w:rsidR="000A1D0F" w:rsidRDefault="000A1D0F">
      <w:r>
        <w:br w:type="page"/>
      </w:r>
    </w:p>
    <w:tbl>
      <w:tblPr>
        <w:tblStyle w:val="TableGrid"/>
        <w:tblW w:w="0" w:type="auto"/>
        <w:tblLook w:val="06A0" w:firstRow="1" w:lastRow="0" w:firstColumn="1" w:lastColumn="0" w:noHBand="1" w:noVBand="1"/>
      </w:tblPr>
      <w:tblGrid>
        <w:gridCol w:w="3237"/>
        <w:gridCol w:w="3237"/>
        <w:gridCol w:w="3238"/>
        <w:gridCol w:w="3238"/>
      </w:tblGrid>
      <w:tr w:rsidR="000A1D0F" w14:paraId="065C85D8" w14:textId="77777777" w:rsidTr="006A3F55">
        <w:trPr>
          <w:cantSplit/>
          <w:tblHeader/>
        </w:trPr>
        <w:tc>
          <w:tcPr>
            <w:tcW w:w="3237" w:type="dxa"/>
            <w:shd w:val="clear" w:color="auto" w:fill="F4B083" w:themeFill="accent2" w:themeFillTint="99"/>
          </w:tcPr>
          <w:p w14:paraId="5F6DE7F0" w14:textId="77777777" w:rsidR="000A1D0F" w:rsidRPr="008E5902" w:rsidRDefault="000A1D0F" w:rsidP="006A3F55">
            <w:pPr>
              <w:jc w:val="center"/>
              <w:rPr>
                <w:b/>
                <w:bCs/>
              </w:rPr>
            </w:pPr>
            <w:r>
              <w:rPr>
                <w:b/>
                <w:bCs/>
              </w:rPr>
              <w:lastRenderedPageBreak/>
              <w:t>Beacon Pointe/Schwab (BP)</w:t>
            </w:r>
          </w:p>
        </w:tc>
        <w:tc>
          <w:tcPr>
            <w:tcW w:w="3237" w:type="dxa"/>
            <w:shd w:val="clear" w:color="auto" w:fill="F4B083" w:themeFill="accent2" w:themeFillTint="99"/>
          </w:tcPr>
          <w:p w14:paraId="1667C432" w14:textId="77777777" w:rsidR="000A1D0F" w:rsidRPr="008E5902" w:rsidRDefault="000A1D0F" w:rsidP="006A3F55">
            <w:pPr>
              <w:jc w:val="center"/>
              <w:rPr>
                <w:b/>
                <w:bCs/>
              </w:rPr>
            </w:pPr>
            <w:r>
              <w:rPr>
                <w:b/>
                <w:bCs/>
              </w:rPr>
              <w:t>BOK</w:t>
            </w:r>
          </w:p>
        </w:tc>
        <w:tc>
          <w:tcPr>
            <w:tcW w:w="3238" w:type="dxa"/>
            <w:shd w:val="clear" w:color="auto" w:fill="F4B083" w:themeFill="accent2" w:themeFillTint="99"/>
          </w:tcPr>
          <w:p w14:paraId="25DE7C1F" w14:textId="77777777" w:rsidR="000A1D0F" w:rsidRPr="008E5902" w:rsidRDefault="000A1D0F" w:rsidP="006A3F55">
            <w:pPr>
              <w:jc w:val="center"/>
              <w:rPr>
                <w:b/>
                <w:bCs/>
              </w:rPr>
            </w:pPr>
            <w:r>
              <w:rPr>
                <w:b/>
                <w:bCs/>
              </w:rPr>
              <w:t>Northern Trust (TNT)</w:t>
            </w:r>
          </w:p>
        </w:tc>
        <w:tc>
          <w:tcPr>
            <w:tcW w:w="3238" w:type="dxa"/>
            <w:shd w:val="clear" w:color="auto" w:fill="F4B083" w:themeFill="accent2" w:themeFillTint="99"/>
          </w:tcPr>
          <w:p w14:paraId="634C6F73" w14:textId="77777777" w:rsidR="000A1D0F" w:rsidRPr="008E5902" w:rsidRDefault="000A1D0F" w:rsidP="006A3F55">
            <w:pPr>
              <w:jc w:val="center"/>
              <w:rPr>
                <w:b/>
                <w:bCs/>
              </w:rPr>
            </w:pPr>
            <w:r>
              <w:rPr>
                <w:b/>
                <w:bCs/>
              </w:rPr>
              <w:t>Wells Fargo (WF)</w:t>
            </w:r>
          </w:p>
        </w:tc>
      </w:tr>
      <w:tr w:rsidR="009E3B2D" w14:paraId="625053E1" w14:textId="77777777" w:rsidTr="00D652CC">
        <w:tc>
          <w:tcPr>
            <w:tcW w:w="12950" w:type="dxa"/>
            <w:gridSpan w:val="4"/>
            <w:shd w:val="clear" w:color="auto" w:fill="FFE599" w:themeFill="accent4" w:themeFillTint="66"/>
          </w:tcPr>
          <w:p w14:paraId="7CDA6B39" w14:textId="03F656A4" w:rsidR="009E3B2D" w:rsidRPr="009E3B2D" w:rsidRDefault="009419D7" w:rsidP="006A3F55">
            <w:pPr>
              <w:jc w:val="center"/>
              <w:rPr>
                <w:b/>
                <w:bCs/>
              </w:rPr>
            </w:pPr>
            <w:r>
              <w:rPr>
                <w:b/>
                <w:bCs/>
              </w:rPr>
              <w:t>Company Profile Information</w:t>
            </w:r>
            <w:r w:rsidR="007B1803">
              <w:rPr>
                <w:b/>
                <w:bCs/>
              </w:rPr>
              <w:t>/Other</w:t>
            </w:r>
          </w:p>
        </w:tc>
      </w:tr>
      <w:tr w:rsidR="00E0559A" w14:paraId="723D8B73" w14:textId="77777777" w:rsidTr="00D652CC">
        <w:tc>
          <w:tcPr>
            <w:tcW w:w="3237" w:type="dxa"/>
          </w:tcPr>
          <w:p w14:paraId="338EFB1F" w14:textId="3D58B177" w:rsidR="009856EB" w:rsidRDefault="009856EB" w:rsidP="006A3F55">
            <w:pPr>
              <w:ind w:left="150" w:hanging="150"/>
            </w:pPr>
            <w:r>
              <w:t>Largest female-led Registered Investment Advisory firms (RIAs) in the nation</w:t>
            </w:r>
          </w:p>
          <w:p w14:paraId="0E9CF1E2" w14:textId="3A770332" w:rsidR="009856EB" w:rsidRDefault="009856EB" w:rsidP="006A3F55">
            <w:pPr>
              <w:ind w:left="150" w:hanging="150"/>
            </w:pPr>
            <w:r>
              <w:t>Founded 2002</w:t>
            </w:r>
          </w:p>
          <w:p w14:paraId="1F7FE9C1" w14:textId="79EE12EB" w:rsidR="00AE421B" w:rsidRDefault="009856EB" w:rsidP="006A3F55">
            <w:pPr>
              <w:ind w:left="150" w:hanging="150"/>
            </w:pPr>
            <w:r>
              <w:t>Schwab will serve as asset custodian</w:t>
            </w:r>
          </w:p>
        </w:tc>
        <w:tc>
          <w:tcPr>
            <w:tcW w:w="3237" w:type="dxa"/>
          </w:tcPr>
          <w:p w14:paraId="64F3CAB3" w14:textId="2337C826" w:rsidR="007B1803" w:rsidRDefault="00097BFA" w:rsidP="006A3F55">
            <w:pPr>
              <w:ind w:left="76" w:hanging="76"/>
            </w:pPr>
            <w:r>
              <w:t>1949/</w:t>
            </w:r>
            <w:r w:rsidR="007B1803">
              <w:t>73 years in business</w:t>
            </w:r>
          </w:p>
          <w:p w14:paraId="225EEF08" w14:textId="2E0614ED" w:rsidR="00E0559A" w:rsidRDefault="009419D7" w:rsidP="006A3F55">
            <w:pPr>
              <w:ind w:left="76" w:hanging="76"/>
            </w:pPr>
            <w:r>
              <w:t>63% Nonprofit</w:t>
            </w:r>
          </w:p>
          <w:p w14:paraId="3A5D87A3" w14:textId="241A6B97" w:rsidR="00097BFA" w:rsidRDefault="00097BFA" w:rsidP="006A3F55">
            <w:pPr>
              <w:ind w:left="76" w:hanging="76"/>
            </w:pPr>
            <w:proofErr w:type="spellStart"/>
            <w:r>
              <w:t>Cavanal</w:t>
            </w:r>
            <w:proofErr w:type="spellEnd"/>
            <w:r>
              <w:t xml:space="preserve"> Hill Investment Management Inc. – wholly owned subsidiary of BOKF NA may be used for our portfolio</w:t>
            </w:r>
          </w:p>
          <w:p w14:paraId="249E32CF" w14:textId="2C9F88A3" w:rsidR="00097BFA" w:rsidRDefault="00097BFA" w:rsidP="006A3F55">
            <w:pPr>
              <w:ind w:left="76" w:hanging="76"/>
            </w:pPr>
            <w:r>
              <w:t>Client Advisor: Client approx. 25:1</w:t>
            </w:r>
          </w:p>
          <w:p w14:paraId="7F49AF20" w14:textId="1B3DB2DB" w:rsidR="00C15398" w:rsidRDefault="00C15398" w:rsidP="006A3F55">
            <w:pPr>
              <w:ind w:left="76" w:hanging="76"/>
            </w:pPr>
            <w:r>
              <w:t>Avg tenure of senior execs/key employees approx. 19 years</w:t>
            </w:r>
          </w:p>
          <w:p w14:paraId="0937627D" w14:textId="540BB7F6" w:rsidR="007B1803" w:rsidRDefault="007B1803" w:rsidP="006A3F55">
            <w:pPr>
              <w:ind w:left="76" w:hanging="76"/>
            </w:pPr>
            <w:r>
              <w:t>Emphasized systems security</w:t>
            </w:r>
          </w:p>
        </w:tc>
        <w:tc>
          <w:tcPr>
            <w:tcW w:w="3238" w:type="dxa"/>
          </w:tcPr>
          <w:p w14:paraId="6A3282B9" w14:textId="47D808C8" w:rsidR="00174AA4" w:rsidRDefault="00174AA4" w:rsidP="006A3F55">
            <w:pPr>
              <w:ind w:left="166" w:hanging="166"/>
            </w:pPr>
            <w:r>
              <w:t>Founded 1889</w:t>
            </w:r>
          </w:p>
          <w:p w14:paraId="45D5C8CE" w14:textId="35664FEB" w:rsidR="00FB5FF0" w:rsidRDefault="00FB5FF0" w:rsidP="006A3F55">
            <w:pPr>
              <w:ind w:left="166" w:hanging="166"/>
            </w:pPr>
            <w:r>
              <w:t>397 Foundation &amp; Institutional clients nationally</w:t>
            </w:r>
          </w:p>
          <w:p w14:paraId="2CCA12EE" w14:textId="78FF0367" w:rsidR="00E0559A" w:rsidRDefault="005D1834" w:rsidP="006A3F55">
            <w:pPr>
              <w:ind w:left="166" w:hanging="166"/>
            </w:pPr>
            <w:r>
              <w:t>96% Client Retention past 5 years</w:t>
            </w:r>
          </w:p>
        </w:tc>
        <w:tc>
          <w:tcPr>
            <w:tcW w:w="3238" w:type="dxa"/>
          </w:tcPr>
          <w:p w14:paraId="5F44ECCE" w14:textId="77777777" w:rsidR="00E0559A" w:rsidRDefault="00E0559A" w:rsidP="006A3F55">
            <w:pPr>
              <w:ind w:left="76" w:hanging="76"/>
            </w:pPr>
          </w:p>
        </w:tc>
      </w:tr>
      <w:tr w:rsidR="000A1D0F" w14:paraId="00D5409F" w14:textId="77777777" w:rsidTr="006A3F55">
        <w:tc>
          <w:tcPr>
            <w:tcW w:w="12950" w:type="dxa"/>
            <w:gridSpan w:val="4"/>
            <w:shd w:val="clear" w:color="auto" w:fill="FFE599" w:themeFill="accent4" w:themeFillTint="66"/>
          </w:tcPr>
          <w:p w14:paraId="084CAEA9" w14:textId="77777777" w:rsidR="000A1D0F" w:rsidRPr="009E3B2D" w:rsidRDefault="000A1D0F" w:rsidP="006A3F55">
            <w:pPr>
              <w:jc w:val="center"/>
              <w:rPr>
                <w:b/>
                <w:bCs/>
              </w:rPr>
            </w:pPr>
            <w:r>
              <w:rPr>
                <w:b/>
                <w:bCs/>
              </w:rPr>
              <w:t>JA Involvement</w:t>
            </w:r>
          </w:p>
        </w:tc>
      </w:tr>
      <w:tr w:rsidR="000A1D0F" w14:paraId="1009403F" w14:textId="77777777" w:rsidTr="006A3F55">
        <w:tc>
          <w:tcPr>
            <w:tcW w:w="3237" w:type="dxa"/>
          </w:tcPr>
          <w:p w14:paraId="101CC238" w14:textId="77777777" w:rsidR="000A1D0F" w:rsidRDefault="000A1D0F" w:rsidP="006A3F55">
            <w:pPr>
              <w:ind w:left="76" w:hanging="76"/>
            </w:pPr>
            <w:r>
              <w:t xml:space="preserve">2021-22 Contributions </w:t>
            </w:r>
          </w:p>
          <w:p w14:paraId="3A53A980" w14:textId="77777777" w:rsidR="000A1D0F" w:rsidRDefault="000A1D0F" w:rsidP="006A3F55">
            <w:pPr>
              <w:ind w:left="150" w:hanging="150"/>
            </w:pPr>
            <w:r>
              <w:t>Schwab - $91,350</w:t>
            </w:r>
          </w:p>
          <w:p w14:paraId="369A5999" w14:textId="77777777" w:rsidR="000A1D0F" w:rsidRDefault="000A1D0F" w:rsidP="006A3F55">
            <w:pPr>
              <w:ind w:left="150" w:hanging="150"/>
            </w:pPr>
            <w:r>
              <w:t>Beacon Pointe – FAC Member, Biz Town, Classroom volunteering</w:t>
            </w:r>
          </w:p>
          <w:p w14:paraId="5A6C0651" w14:textId="77777777" w:rsidR="000A1D0F" w:rsidRDefault="000A1D0F" w:rsidP="006A3F55">
            <w:pPr>
              <w:ind w:left="150" w:hanging="150"/>
            </w:pPr>
            <w:r>
              <w:t>Schwab – Stock Market Challenge, JA Days, Traditional Days</w:t>
            </w:r>
          </w:p>
        </w:tc>
        <w:tc>
          <w:tcPr>
            <w:tcW w:w="3237" w:type="dxa"/>
          </w:tcPr>
          <w:p w14:paraId="7D3B330E" w14:textId="77777777" w:rsidR="000A1D0F" w:rsidRPr="009419D7" w:rsidRDefault="000A1D0F" w:rsidP="006A3F55">
            <w:pPr>
              <w:ind w:left="166" w:hanging="166"/>
            </w:pPr>
            <w:r w:rsidRPr="009419D7">
              <w:t>2021-22 Contributions $11,000</w:t>
            </w:r>
          </w:p>
          <w:p w14:paraId="632293EC" w14:textId="77777777" w:rsidR="000A1D0F" w:rsidRPr="009419D7" w:rsidRDefault="000A1D0F" w:rsidP="006A3F55">
            <w:pPr>
              <w:ind w:left="76" w:hanging="76"/>
            </w:pPr>
            <w:r w:rsidRPr="009419D7">
              <w:t>JA Days, Traditional Days</w:t>
            </w:r>
          </w:p>
        </w:tc>
        <w:tc>
          <w:tcPr>
            <w:tcW w:w="3238" w:type="dxa"/>
          </w:tcPr>
          <w:p w14:paraId="4091BE0B" w14:textId="77777777" w:rsidR="000A1D0F" w:rsidRDefault="000A1D0F" w:rsidP="006A3F55">
            <w:pPr>
              <w:ind w:left="166" w:hanging="166"/>
            </w:pPr>
            <w:r>
              <w:t>Various JABT and Classroom Volunteering</w:t>
            </w:r>
          </w:p>
        </w:tc>
        <w:tc>
          <w:tcPr>
            <w:tcW w:w="3238" w:type="dxa"/>
          </w:tcPr>
          <w:p w14:paraId="323488C2" w14:textId="77777777" w:rsidR="000A1D0F" w:rsidRDefault="000A1D0F" w:rsidP="006A3F55">
            <w:pPr>
              <w:ind w:left="76" w:hanging="76"/>
            </w:pPr>
            <w:r>
              <w:t>2021-22 Contributions</w:t>
            </w:r>
          </w:p>
          <w:p w14:paraId="246F4F5F" w14:textId="77777777" w:rsidR="000A1D0F" w:rsidRDefault="000A1D0F" w:rsidP="006A3F55">
            <w:pPr>
              <w:ind w:left="76" w:hanging="76"/>
            </w:pPr>
            <w:r>
              <w:t>$121,000 Wells Fargo</w:t>
            </w:r>
          </w:p>
          <w:p w14:paraId="5D44C1A2" w14:textId="77777777" w:rsidR="000A1D0F" w:rsidRDefault="000A1D0F" w:rsidP="006A3F55">
            <w:pPr>
              <w:ind w:left="76" w:hanging="76"/>
            </w:pPr>
            <w:r>
              <w:t>$1,000 Wells Fargo Advisors</w:t>
            </w:r>
          </w:p>
          <w:p w14:paraId="31C540B0" w14:textId="77777777" w:rsidR="000A1D0F" w:rsidRDefault="000A1D0F" w:rsidP="006A3F55">
            <w:pPr>
              <w:ind w:left="76" w:hanging="76"/>
            </w:pPr>
            <w:r>
              <w:t>Wells Fargo employee volunteers</w:t>
            </w:r>
          </w:p>
          <w:p w14:paraId="774F7BCC" w14:textId="77777777" w:rsidR="000A1D0F" w:rsidRDefault="000A1D0F" w:rsidP="006A3F55">
            <w:pPr>
              <w:ind w:left="76" w:hanging="76"/>
            </w:pPr>
            <w:r>
              <w:t>Karen on Stock Market Challenge Committee</w:t>
            </w:r>
          </w:p>
          <w:p w14:paraId="3F4D3579" w14:textId="77777777" w:rsidR="000A1D0F" w:rsidRDefault="000A1D0F" w:rsidP="006A3F55">
            <w:pPr>
              <w:ind w:left="76" w:hanging="76"/>
            </w:pPr>
          </w:p>
        </w:tc>
      </w:tr>
    </w:tbl>
    <w:p w14:paraId="699E6AA6" w14:textId="77777777" w:rsidR="008E5902" w:rsidRPr="008E5902" w:rsidRDefault="008E5902" w:rsidP="008E5902"/>
    <w:sectPr w:rsidR="008E5902" w:rsidRPr="008E5902" w:rsidSect="008E59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4057"/>
    <w:multiLevelType w:val="hybridMultilevel"/>
    <w:tmpl w:val="85520184"/>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 w15:restartNumberingAfterBreak="0">
    <w:nsid w:val="1F955AEC"/>
    <w:multiLevelType w:val="hybridMultilevel"/>
    <w:tmpl w:val="59A6CA88"/>
    <w:lvl w:ilvl="0" w:tplc="D4D208F8">
      <w:numFmt w:val="decimal"/>
      <w:lvlText w:val="%1."/>
      <w:lvlJc w:val="left"/>
      <w:pPr>
        <w:ind w:left="511" w:hanging="435"/>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3943765E"/>
    <w:multiLevelType w:val="hybridMultilevel"/>
    <w:tmpl w:val="342E55DE"/>
    <w:lvl w:ilvl="0" w:tplc="3DF07BBA">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A053E"/>
    <w:multiLevelType w:val="hybridMultilevel"/>
    <w:tmpl w:val="8B26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2156D1"/>
    <w:multiLevelType w:val="hybridMultilevel"/>
    <w:tmpl w:val="29D41836"/>
    <w:lvl w:ilvl="0" w:tplc="08EE179C">
      <w:start w:val="20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991149">
    <w:abstractNumId w:val="2"/>
  </w:num>
  <w:num w:numId="2" w16cid:durableId="1611814377">
    <w:abstractNumId w:val="0"/>
  </w:num>
  <w:num w:numId="3" w16cid:durableId="888109197">
    <w:abstractNumId w:val="4"/>
  </w:num>
  <w:num w:numId="4" w16cid:durableId="1067454527">
    <w:abstractNumId w:val="1"/>
  </w:num>
  <w:num w:numId="5" w16cid:durableId="1772966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02"/>
    <w:rsid w:val="00073AF5"/>
    <w:rsid w:val="00097BFA"/>
    <w:rsid w:val="000A1D0F"/>
    <w:rsid w:val="001117EF"/>
    <w:rsid w:val="00157C67"/>
    <w:rsid w:val="00174AA4"/>
    <w:rsid w:val="002F03A5"/>
    <w:rsid w:val="00350639"/>
    <w:rsid w:val="00452BBA"/>
    <w:rsid w:val="0057474C"/>
    <w:rsid w:val="005D1834"/>
    <w:rsid w:val="005F00BF"/>
    <w:rsid w:val="00605DC6"/>
    <w:rsid w:val="00790A99"/>
    <w:rsid w:val="007B1803"/>
    <w:rsid w:val="008A7A56"/>
    <w:rsid w:val="008C59E7"/>
    <w:rsid w:val="008C6EF5"/>
    <w:rsid w:val="008E5902"/>
    <w:rsid w:val="00937029"/>
    <w:rsid w:val="009419D7"/>
    <w:rsid w:val="00982E1A"/>
    <w:rsid w:val="009856EB"/>
    <w:rsid w:val="009E3B2D"/>
    <w:rsid w:val="00AE421B"/>
    <w:rsid w:val="00B15D29"/>
    <w:rsid w:val="00B749FD"/>
    <w:rsid w:val="00C15398"/>
    <w:rsid w:val="00C51701"/>
    <w:rsid w:val="00C6370A"/>
    <w:rsid w:val="00D14D9B"/>
    <w:rsid w:val="00D27678"/>
    <w:rsid w:val="00D567A7"/>
    <w:rsid w:val="00D652CC"/>
    <w:rsid w:val="00DB5A24"/>
    <w:rsid w:val="00DD515A"/>
    <w:rsid w:val="00E0559A"/>
    <w:rsid w:val="00E549DE"/>
    <w:rsid w:val="00EB0E6F"/>
    <w:rsid w:val="00ED6E3E"/>
    <w:rsid w:val="00FB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DF1"/>
  <w15:chartTrackingRefBased/>
  <w15:docId w15:val="{36564A08-8663-4756-B093-569C4A9E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701"/>
    <w:pPr>
      <w:ind w:left="720"/>
      <w:contextualSpacing/>
    </w:pPr>
  </w:style>
  <w:style w:type="character" w:customStyle="1" w:styleId="fontstyle01">
    <w:name w:val="fontstyle01"/>
    <w:basedOn w:val="DefaultParagraphFont"/>
    <w:rsid w:val="00DD515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Quick</dc:creator>
  <cp:keywords/>
  <dc:description/>
  <cp:lastModifiedBy>Amy Schaefer</cp:lastModifiedBy>
  <cp:revision>2</cp:revision>
  <dcterms:created xsi:type="dcterms:W3CDTF">2022-05-24T18:16:00Z</dcterms:created>
  <dcterms:modified xsi:type="dcterms:W3CDTF">2022-05-24T18:16:00Z</dcterms:modified>
</cp:coreProperties>
</file>